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5C15D" w14:textId="77777777" w:rsidR="008B7206" w:rsidRDefault="008B7206" w:rsidP="008B7206">
      <w:pPr>
        <w:jc w:val="center"/>
        <w:rPr>
          <w:b/>
          <w:color w:val="000000"/>
        </w:rPr>
      </w:pPr>
      <w:r w:rsidRPr="00DF5807">
        <w:rPr>
          <w:b/>
          <w:color w:val="000000"/>
        </w:rPr>
        <w:t>MBA424: HR ANALYTICS</w:t>
      </w:r>
    </w:p>
    <w:p w14:paraId="55580FE9" w14:textId="77777777" w:rsidR="008B7206" w:rsidRPr="00DF5807" w:rsidRDefault="008B7206" w:rsidP="008B7206">
      <w:pPr>
        <w:jc w:val="center"/>
        <w:rPr>
          <w:b/>
          <w:color w:val="000000"/>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2"/>
        <w:gridCol w:w="4854"/>
      </w:tblGrid>
      <w:tr w:rsidR="008B7206" w:rsidRPr="00DF5807" w14:paraId="19AA240C" w14:textId="77777777" w:rsidTr="00A6348D">
        <w:trPr>
          <w:trHeight w:val="249"/>
        </w:trPr>
        <w:tc>
          <w:tcPr>
            <w:tcW w:w="4502" w:type="dxa"/>
            <w:tcBorders>
              <w:bottom w:val="nil"/>
            </w:tcBorders>
          </w:tcPr>
          <w:p w14:paraId="2E6732B1" w14:textId="77777777" w:rsidR="008B7206" w:rsidRPr="00DF5807" w:rsidRDefault="008B7206" w:rsidP="00A6348D">
            <w:pPr>
              <w:pStyle w:val="TableParagraph"/>
              <w:spacing w:line="250" w:lineRule="exact"/>
              <w:ind w:left="102"/>
              <w:jc w:val="center"/>
              <w:rPr>
                <w:b/>
                <w:color w:val="000000"/>
                <w:w w:val="105"/>
              </w:rPr>
            </w:pPr>
            <w:r w:rsidRPr="00DF5807">
              <w:rPr>
                <w:b/>
                <w:color w:val="000000"/>
                <w:w w:val="105"/>
              </w:rPr>
              <w:t>Teaching Scheme</w:t>
            </w:r>
          </w:p>
          <w:p w14:paraId="481069FF" w14:textId="77777777" w:rsidR="008B7206" w:rsidRPr="00DF5807" w:rsidRDefault="008B7206" w:rsidP="00A6348D">
            <w:pPr>
              <w:pStyle w:val="TableParagraph"/>
              <w:spacing w:line="250" w:lineRule="exact"/>
              <w:ind w:left="102"/>
              <w:jc w:val="center"/>
              <w:rPr>
                <w:b/>
                <w:color w:val="000000"/>
                <w:w w:val="105"/>
              </w:rPr>
            </w:pPr>
          </w:p>
        </w:tc>
        <w:tc>
          <w:tcPr>
            <w:tcW w:w="4854" w:type="dxa"/>
            <w:tcBorders>
              <w:bottom w:val="nil"/>
            </w:tcBorders>
          </w:tcPr>
          <w:p w14:paraId="38BF303B" w14:textId="77777777" w:rsidR="008B7206" w:rsidRPr="00DF5807" w:rsidRDefault="008B7206" w:rsidP="00A6348D">
            <w:pPr>
              <w:pStyle w:val="TableParagraph"/>
              <w:spacing w:line="250" w:lineRule="exact"/>
              <w:ind w:left="100"/>
              <w:rPr>
                <w:b/>
                <w:color w:val="000000"/>
              </w:rPr>
            </w:pPr>
            <w:r w:rsidRPr="00DF5807">
              <w:rPr>
                <w:b/>
                <w:color w:val="000000"/>
                <w:w w:val="105"/>
              </w:rPr>
              <w:t>Examination Scheme</w:t>
            </w:r>
          </w:p>
        </w:tc>
      </w:tr>
      <w:tr w:rsidR="008B7206" w:rsidRPr="00DF5807" w14:paraId="6F382978" w14:textId="77777777" w:rsidTr="00A6348D">
        <w:trPr>
          <w:trHeight w:val="236"/>
        </w:trPr>
        <w:tc>
          <w:tcPr>
            <w:tcW w:w="4502" w:type="dxa"/>
            <w:tcBorders>
              <w:top w:val="nil"/>
              <w:bottom w:val="nil"/>
            </w:tcBorders>
          </w:tcPr>
          <w:p w14:paraId="2F35A751" w14:textId="77777777" w:rsidR="008B7206" w:rsidRPr="00DF5807" w:rsidRDefault="008B7206" w:rsidP="00A6348D">
            <w:pPr>
              <w:pStyle w:val="TableParagraph"/>
              <w:spacing w:line="231" w:lineRule="exact"/>
              <w:ind w:left="102"/>
              <w:rPr>
                <w:color w:val="000000"/>
              </w:rPr>
            </w:pPr>
            <w:r w:rsidRPr="00DF5807">
              <w:rPr>
                <w:color w:val="000000"/>
                <w:w w:val="105"/>
              </w:rPr>
              <w:t>Lectures: 4 hrs./Week</w:t>
            </w:r>
          </w:p>
        </w:tc>
        <w:tc>
          <w:tcPr>
            <w:tcW w:w="4854" w:type="dxa"/>
            <w:tcBorders>
              <w:top w:val="nil"/>
              <w:bottom w:val="nil"/>
            </w:tcBorders>
          </w:tcPr>
          <w:p w14:paraId="3860A8CA" w14:textId="77777777" w:rsidR="008B7206" w:rsidRPr="00DF5807" w:rsidRDefault="008B7206" w:rsidP="00A6348D">
            <w:pPr>
              <w:pStyle w:val="TableParagraph"/>
              <w:spacing w:line="231" w:lineRule="exact"/>
              <w:ind w:left="100"/>
              <w:rPr>
                <w:color w:val="000000"/>
              </w:rPr>
            </w:pPr>
            <w:r w:rsidRPr="00DF5807">
              <w:rPr>
                <w:color w:val="000000"/>
                <w:w w:val="105"/>
              </w:rPr>
              <w:t>Class Test -12Marks</w:t>
            </w:r>
          </w:p>
        </w:tc>
      </w:tr>
      <w:tr w:rsidR="008B7206" w:rsidRPr="00DF5807" w14:paraId="276D804E" w14:textId="77777777" w:rsidTr="00A6348D">
        <w:trPr>
          <w:trHeight w:val="237"/>
        </w:trPr>
        <w:tc>
          <w:tcPr>
            <w:tcW w:w="4502" w:type="dxa"/>
            <w:tcBorders>
              <w:top w:val="nil"/>
              <w:bottom w:val="nil"/>
            </w:tcBorders>
          </w:tcPr>
          <w:p w14:paraId="589BC37F" w14:textId="77777777" w:rsidR="008B7206" w:rsidRPr="00DF5807" w:rsidRDefault="008B7206" w:rsidP="00A6348D">
            <w:pPr>
              <w:pStyle w:val="TableParagraph"/>
              <w:spacing w:line="232" w:lineRule="exact"/>
              <w:ind w:left="102"/>
              <w:rPr>
                <w:color w:val="000000"/>
              </w:rPr>
            </w:pPr>
            <w:r w:rsidRPr="00DF5807">
              <w:rPr>
                <w:color w:val="000000"/>
                <w:w w:val="105"/>
              </w:rPr>
              <w:t>Tutorials: 1 hrs./Week</w:t>
            </w:r>
          </w:p>
        </w:tc>
        <w:tc>
          <w:tcPr>
            <w:tcW w:w="4854" w:type="dxa"/>
            <w:tcBorders>
              <w:top w:val="nil"/>
              <w:bottom w:val="nil"/>
            </w:tcBorders>
          </w:tcPr>
          <w:p w14:paraId="6AA7D658" w14:textId="77777777" w:rsidR="008B7206" w:rsidRPr="00DF5807" w:rsidRDefault="008B7206" w:rsidP="00A6348D">
            <w:pPr>
              <w:pStyle w:val="TableParagraph"/>
              <w:spacing w:line="232" w:lineRule="exact"/>
              <w:ind w:left="100"/>
              <w:rPr>
                <w:color w:val="000000"/>
                <w:w w:val="105"/>
              </w:rPr>
            </w:pPr>
            <w:r w:rsidRPr="00DF5807">
              <w:rPr>
                <w:color w:val="000000"/>
                <w:w w:val="105"/>
              </w:rPr>
              <w:t>Teachers Assessment - 6Marks</w:t>
            </w:r>
          </w:p>
          <w:p w14:paraId="43D6EDCC" w14:textId="77777777" w:rsidR="008B7206" w:rsidRPr="00DF5807" w:rsidRDefault="008B7206" w:rsidP="00A6348D">
            <w:pPr>
              <w:pStyle w:val="TableParagraph"/>
              <w:spacing w:line="232" w:lineRule="exact"/>
              <w:ind w:left="100"/>
              <w:rPr>
                <w:color w:val="000000"/>
              </w:rPr>
            </w:pPr>
            <w:r w:rsidRPr="00DF5807">
              <w:rPr>
                <w:color w:val="000000"/>
                <w:w w:val="105"/>
              </w:rPr>
              <w:t>Attendance – 12 Marks</w:t>
            </w:r>
          </w:p>
        </w:tc>
      </w:tr>
      <w:tr w:rsidR="008B7206" w:rsidRPr="00DF5807" w14:paraId="26277535" w14:textId="77777777" w:rsidTr="00A6348D">
        <w:trPr>
          <w:trHeight w:val="225"/>
        </w:trPr>
        <w:tc>
          <w:tcPr>
            <w:tcW w:w="4502" w:type="dxa"/>
            <w:tcBorders>
              <w:top w:val="nil"/>
            </w:tcBorders>
          </w:tcPr>
          <w:p w14:paraId="2EDFF7F8" w14:textId="77777777" w:rsidR="008B7206" w:rsidRPr="00DF5807" w:rsidRDefault="008B7206" w:rsidP="00A6348D">
            <w:pPr>
              <w:pStyle w:val="TableParagraph"/>
              <w:spacing w:line="227" w:lineRule="exact"/>
              <w:rPr>
                <w:color w:val="000000"/>
              </w:rPr>
            </w:pPr>
            <w:r w:rsidRPr="00DF5807">
              <w:rPr>
                <w:color w:val="000000"/>
                <w:w w:val="105"/>
              </w:rPr>
              <w:t xml:space="preserve">   Credits: 4</w:t>
            </w:r>
          </w:p>
        </w:tc>
        <w:tc>
          <w:tcPr>
            <w:tcW w:w="4854" w:type="dxa"/>
            <w:tcBorders>
              <w:top w:val="nil"/>
            </w:tcBorders>
          </w:tcPr>
          <w:p w14:paraId="6138B172" w14:textId="77777777" w:rsidR="008B7206" w:rsidRPr="00DF5807" w:rsidRDefault="008B7206" w:rsidP="00A6348D">
            <w:pPr>
              <w:pStyle w:val="TableParagraph"/>
              <w:spacing w:line="227" w:lineRule="exact"/>
              <w:ind w:left="100"/>
              <w:rPr>
                <w:color w:val="000000"/>
                <w:w w:val="105"/>
              </w:rPr>
            </w:pPr>
            <w:r w:rsidRPr="00DF5807">
              <w:rPr>
                <w:color w:val="000000"/>
                <w:w w:val="105"/>
              </w:rPr>
              <w:t>End Semester Exam – 70 marks</w:t>
            </w:r>
          </w:p>
          <w:p w14:paraId="56FC3FC6" w14:textId="77777777" w:rsidR="008B7206" w:rsidRPr="00DF5807" w:rsidRDefault="008B7206" w:rsidP="00A6348D">
            <w:pPr>
              <w:pStyle w:val="TableParagraph"/>
              <w:spacing w:line="227" w:lineRule="exact"/>
              <w:ind w:left="100"/>
              <w:rPr>
                <w:color w:val="000000"/>
              </w:rPr>
            </w:pPr>
          </w:p>
        </w:tc>
      </w:tr>
    </w:tbl>
    <w:p w14:paraId="52C849C5" w14:textId="77777777" w:rsidR="008B7206" w:rsidRPr="00DF5807" w:rsidRDefault="008B7206" w:rsidP="008B7206">
      <w:pPr>
        <w:jc w:val="both"/>
        <w:rPr>
          <w:b/>
          <w:color w:val="000000"/>
        </w:rPr>
      </w:pPr>
    </w:p>
    <w:p w14:paraId="68C2EA66" w14:textId="77777777" w:rsidR="008B7206" w:rsidRPr="00DF5807" w:rsidRDefault="008B7206" w:rsidP="008B7206">
      <w:pPr>
        <w:jc w:val="right"/>
        <w:rPr>
          <w:b/>
          <w:color w:val="000000"/>
        </w:rPr>
      </w:pPr>
      <w:r w:rsidRPr="00DF5807">
        <w:rPr>
          <w:b/>
          <w:color w:val="000000"/>
        </w:rPr>
        <w:t>HOURS:40</w:t>
      </w:r>
    </w:p>
    <w:p w14:paraId="18A7311C" w14:textId="77777777" w:rsidR="008B7206" w:rsidRPr="00DF5807" w:rsidRDefault="008B7206" w:rsidP="008B7206">
      <w:pPr>
        <w:shd w:val="clear" w:color="auto" w:fill="FFFFFF"/>
        <w:jc w:val="both"/>
      </w:pPr>
      <w:r w:rsidRPr="00DF5807">
        <w:t>UNIT I(10 Hrs): Workforce Analytics – Overview: Workforce Analytics: definition, evolution, function of Workforce analytics, Use of Workforce / People / HR metrics to measure results in HR - Process vs Outcome, Efficiency vs Effectiveness, Lead vs Lag, challenges in measuring human capital, HR Business Framework, Concept of Balanced Score Card, Identifying key workforce questions, Strategic Case for Workforce Analytics, Data Sources, Power of combining data sources, Good, Important &amp; Key Metrics.</w:t>
      </w:r>
    </w:p>
    <w:p w14:paraId="6113C1C8" w14:textId="77777777" w:rsidR="008B7206" w:rsidRPr="00DF5807" w:rsidRDefault="008B7206" w:rsidP="008B7206">
      <w:pPr>
        <w:shd w:val="clear" w:color="auto" w:fill="FFFFFF"/>
        <w:spacing w:before="100" w:beforeAutospacing="1" w:after="100" w:afterAutospacing="1"/>
        <w:jc w:val="both"/>
      </w:pPr>
      <w:r w:rsidRPr="00DF5807">
        <w:t>UNIT II(10 Hrs): Recruitment Metrics: Fill-up ratio, Time to hire, Cost per hire, Early turnover, Termination during probation, Channel efficiency mix in terms of Direct hires, Employee referral hires, Agency hires &amp; Lateral hires, Offer reject and renege, Fulfilment ratio, Quality of hire, Recruitment to HR cost. Diversity Metrics: Workforce diversity index, Gender mix, Differently abled index, Implementation challenges.</w:t>
      </w:r>
    </w:p>
    <w:p w14:paraId="4DFE01DA" w14:textId="77777777" w:rsidR="008B7206" w:rsidRPr="00DF5807" w:rsidRDefault="008B7206" w:rsidP="008B7206">
      <w:pPr>
        <w:shd w:val="clear" w:color="auto" w:fill="FFFFFF"/>
        <w:spacing w:before="100" w:beforeAutospacing="1" w:after="100" w:afterAutospacing="1"/>
        <w:jc w:val="both"/>
      </w:pPr>
      <w:r w:rsidRPr="00DF5807">
        <w:t>UNIT III(10 Hrs): Talent Metrics: Retention index, Voluntary and involuntary turnover, Turnover by department, grades, performance, and service tenure, Internal hired index. Learning &amp; Development Metrics: Training need identification, Make or Buy Model, Training effectiveness evaluation, Percentage of employee trained, Internally and externally trained, Training hours and cost per employee, ROI calculation. Internal Mobility Metrics: Career Progression Indices - Promotion index, Rotation index, Career path index, Level wise succession readiness index. People Deployment Metrics: Employees per manager, Employee service profiling, Workforce age profiling, Workforce service profiling, Churn index, Separation clearance time.</w:t>
      </w:r>
    </w:p>
    <w:p w14:paraId="2499ED20" w14:textId="77777777" w:rsidR="008B7206" w:rsidRPr="00DF5807" w:rsidRDefault="008B7206" w:rsidP="008B7206">
      <w:pPr>
        <w:shd w:val="clear" w:color="auto" w:fill="FFFFFF"/>
        <w:spacing w:before="100" w:beforeAutospacing="1" w:after="100" w:afterAutospacing="1"/>
        <w:jc w:val="both"/>
      </w:pPr>
      <w:r w:rsidRPr="00DF5807">
        <w:t xml:space="preserve">UNIT IV(Hrs): HR Cost Metrics: Revenue per employee, Operating cost per employee, PBT per employee, HR cost per employee, HR to operating cost, Compensation to HR cost, HR budget variance, HR ROI. HR KPI Dashboard: Calculating HR KPI, Scorecard based on recruitment, training and development, Calculating HR KPI, Scorecard based on employee retention, and turnover. HR Predictive Analytics: Regional and country level differences in turnover data, Predicting individual and team turnovers, Turnover costs for business implications, Selection decisions from previous performance data, Predictive modelling of individual and team performance, Identifying flight-risk candidates, Report generation. </w:t>
      </w:r>
    </w:p>
    <w:p w14:paraId="402AB1CD" w14:textId="77777777" w:rsidR="008B7206" w:rsidRDefault="008B7206" w:rsidP="008B7206"/>
    <w:p w14:paraId="40F3E2C2" w14:textId="77777777" w:rsidR="008B7206" w:rsidRDefault="008B7206" w:rsidP="008B7206"/>
    <w:p w14:paraId="674F0BC9" w14:textId="77777777" w:rsidR="008B7206" w:rsidRDefault="008B7206" w:rsidP="008B7206"/>
    <w:p w14:paraId="5E83F9A8" w14:textId="77777777" w:rsidR="008B7206" w:rsidRPr="00DF5807" w:rsidRDefault="008B7206" w:rsidP="008B7206">
      <w:r w:rsidRPr="00DF5807">
        <w:t xml:space="preserve">Suggested Text Books: </w:t>
      </w:r>
    </w:p>
    <w:p w14:paraId="080D817E" w14:textId="77777777" w:rsidR="008B7206" w:rsidRPr="00DF5807" w:rsidRDefault="008B7206" w:rsidP="008B7206">
      <w:pPr>
        <w:rPr>
          <w:b/>
          <w:color w:val="000000"/>
        </w:rPr>
      </w:pPr>
    </w:p>
    <w:p w14:paraId="092D81FD" w14:textId="77777777" w:rsidR="008B7206" w:rsidRPr="00DF5807" w:rsidRDefault="008B7206" w:rsidP="008B7206">
      <w:pPr>
        <w:pStyle w:val="NormalWeb"/>
        <w:numPr>
          <w:ilvl w:val="0"/>
          <w:numId w:val="12"/>
        </w:numPr>
        <w:shd w:val="clear" w:color="auto" w:fill="FFFFFF"/>
        <w:spacing w:before="0" w:beforeAutospacing="0" w:after="0" w:afterAutospacing="0"/>
      </w:pPr>
      <w:r w:rsidRPr="00DF5807">
        <w:t xml:space="preserve">The Practical Guide to HR Analytics: Using Data to Inform, Transform, and Empower HR Decisions, Shonna D. Waters, Valerie N. Streets, Lindsay </w:t>
      </w:r>
      <w:proofErr w:type="spellStart"/>
      <w:r w:rsidRPr="00DF5807">
        <w:t>Mcfarlane</w:t>
      </w:r>
      <w:proofErr w:type="spellEnd"/>
      <w:r w:rsidRPr="00DF5807">
        <w:t xml:space="preserve">, Rachael Johnson-Murray </w:t>
      </w:r>
    </w:p>
    <w:p w14:paraId="31E077C4" w14:textId="77777777" w:rsidR="008B7206" w:rsidRPr="00DF5807" w:rsidRDefault="008B7206" w:rsidP="008B7206">
      <w:pPr>
        <w:pStyle w:val="NormalWeb"/>
        <w:numPr>
          <w:ilvl w:val="0"/>
          <w:numId w:val="12"/>
        </w:numPr>
        <w:shd w:val="clear" w:color="auto" w:fill="FFFFFF"/>
        <w:spacing w:before="0" w:beforeAutospacing="0" w:after="0" w:afterAutospacing="0"/>
      </w:pPr>
      <w:r w:rsidRPr="00DF5807">
        <w:lastRenderedPageBreak/>
        <w:t xml:space="preserve">HR Analytics: Understanding Theories and Applications , Dipak Kumar Bhattacharyya </w:t>
      </w:r>
    </w:p>
    <w:p w14:paraId="0B5F5E2B" w14:textId="77777777" w:rsidR="008B7206" w:rsidRPr="00DF5807" w:rsidRDefault="008B7206" w:rsidP="008B7206">
      <w:pPr>
        <w:pStyle w:val="NormalWeb"/>
        <w:numPr>
          <w:ilvl w:val="0"/>
          <w:numId w:val="12"/>
        </w:numPr>
        <w:shd w:val="clear" w:color="auto" w:fill="FFFFFF"/>
        <w:spacing w:before="0" w:beforeAutospacing="0" w:after="0" w:afterAutospacing="0"/>
      </w:pPr>
      <w:r w:rsidRPr="00DF5807">
        <w:t xml:space="preserve">Doing HR Analytics - A Practitioner's Handbook With R Examples Lyndon Sundmark </w:t>
      </w:r>
    </w:p>
    <w:p w14:paraId="64AC416E" w14:textId="77777777" w:rsidR="008B7206" w:rsidRPr="00DF5807" w:rsidRDefault="008B7206" w:rsidP="008B7206">
      <w:pPr>
        <w:spacing w:before="100" w:beforeAutospacing="1" w:after="100" w:afterAutospacing="1"/>
      </w:pPr>
      <w:r w:rsidRPr="00DF5807">
        <w:rPr>
          <w:color w:val="1E2328"/>
        </w:rPr>
        <w:t xml:space="preserve">Course Outcomes: On successful completion of the course the learner will be able to </w:t>
      </w:r>
    </w:p>
    <w:tbl>
      <w:tblPr>
        <w:tblW w:w="939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7"/>
        <w:gridCol w:w="8403"/>
      </w:tblGrid>
      <w:tr w:rsidR="008B7206" w:rsidRPr="00DF5807" w14:paraId="505CD0EE" w14:textId="77777777" w:rsidTr="00A6348D">
        <w:trPr>
          <w:trHeight w:val="105"/>
        </w:trPr>
        <w:tc>
          <w:tcPr>
            <w:tcW w:w="983" w:type="dxa"/>
            <w:shd w:val="clear" w:color="auto" w:fill="auto"/>
          </w:tcPr>
          <w:p w14:paraId="3F570070" w14:textId="77777777" w:rsidR="008B7206" w:rsidRPr="00DF5807" w:rsidRDefault="008B7206" w:rsidP="00A6348D">
            <w:pPr>
              <w:pStyle w:val="TableParagraph"/>
              <w:spacing w:line="275" w:lineRule="exact"/>
              <w:ind w:right="495"/>
              <w:jc w:val="right"/>
              <w:rPr>
                <w:b/>
                <w:i/>
                <w:iCs/>
              </w:rPr>
            </w:pPr>
          </w:p>
        </w:tc>
        <w:tc>
          <w:tcPr>
            <w:tcW w:w="8373" w:type="dxa"/>
            <w:shd w:val="clear" w:color="auto" w:fill="auto"/>
          </w:tcPr>
          <w:p w14:paraId="07B89C9C" w14:textId="77777777" w:rsidR="008B7206" w:rsidRPr="00DF5807" w:rsidRDefault="008B7206" w:rsidP="00A6348D">
            <w:pPr>
              <w:pStyle w:val="TableParagraph"/>
              <w:spacing w:line="275" w:lineRule="exact"/>
              <w:ind w:left="1383" w:right="1381"/>
              <w:jc w:val="center"/>
              <w:rPr>
                <w:b/>
                <w:i/>
                <w:iCs/>
              </w:rPr>
            </w:pPr>
            <w:r w:rsidRPr="00DF5807">
              <w:rPr>
                <w:b/>
                <w:i/>
                <w:iCs/>
              </w:rPr>
              <w:t>COURSE OUTCOMES DESCRIPTION</w:t>
            </w:r>
          </w:p>
        </w:tc>
      </w:tr>
      <w:tr w:rsidR="008B7206" w:rsidRPr="00DF5807" w14:paraId="6832D9C3" w14:textId="77777777" w:rsidTr="00A6348D">
        <w:trPr>
          <w:trHeight w:val="253"/>
        </w:trPr>
        <w:tc>
          <w:tcPr>
            <w:tcW w:w="983" w:type="dxa"/>
            <w:shd w:val="clear" w:color="auto" w:fill="auto"/>
          </w:tcPr>
          <w:p w14:paraId="13C82683" w14:textId="77777777" w:rsidR="008B7206" w:rsidRPr="00DF5807" w:rsidRDefault="008B7206" w:rsidP="00A6348D">
            <w:pPr>
              <w:pStyle w:val="TableParagraph"/>
              <w:spacing w:line="275" w:lineRule="exact"/>
              <w:ind w:right="434"/>
              <w:jc w:val="right"/>
              <w:rPr>
                <w:b/>
                <w:i/>
                <w:iCs/>
              </w:rPr>
            </w:pPr>
            <w:r w:rsidRPr="00DF5807">
              <w:rPr>
                <w:b/>
                <w:i/>
                <w:iCs/>
                <w:w w:val="95"/>
              </w:rPr>
              <w:t>CO1</w:t>
            </w:r>
          </w:p>
        </w:tc>
        <w:tc>
          <w:tcPr>
            <w:tcW w:w="8373" w:type="dxa"/>
            <w:shd w:val="clear" w:color="auto" w:fill="auto"/>
          </w:tcPr>
          <w:p w14:paraId="007A2039" w14:textId="77777777" w:rsidR="008B7206" w:rsidRPr="00DF5807" w:rsidRDefault="008B7206" w:rsidP="00A6348D">
            <w:pPr>
              <w:pStyle w:val="NormalWeb"/>
            </w:pPr>
            <w:r w:rsidRPr="00DF5807">
              <w:t xml:space="preserve">ENUMERATE the use of Workforce Analytics. </w:t>
            </w:r>
          </w:p>
        </w:tc>
      </w:tr>
      <w:tr w:rsidR="008B7206" w:rsidRPr="00DF5807" w14:paraId="309E9AC6" w14:textId="77777777" w:rsidTr="00A6348D">
        <w:trPr>
          <w:trHeight w:val="359"/>
        </w:trPr>
        <w:tc>
          <w:tcPr>
            <w:tcW w:w="983" w:type="dxa"/>
            <w:shd w:val="clear" w:color="auto" w:fill="auto"/>
          </w:tcPr>
          <w:p w14:paraId="01D8EA62" w14:textId="77777777" w:rsidR="008B7206" w:rsidRPr="00DF5807" w:rsidRDefault="008B7206" w:rsidP="00A6348D">
            <w:pPr>
              <w:pStyle w:val="TableParagraph"/>
              <w:spacing w:line="275" w:lineRule="exact"/>
              <w:ind w:right="434"/>
              <w:jc w:val="right"/>
              <w:rPr>
                <w:b/>
                <w:i/>
                <w:iCs/>
                <w:w w:val="95"/>
              </w:rPr>
            </w:pPr>
            <w:r w:rsidRPr="00DF5807">
              <w:rPr>
                <w:b/>
                <w:i/>
                <w:iCs/>
                <w:w w:val="95"/>
              </w:rPr>
              <w:t>CO2</w:t>
            </w:r>
          </w:p>
        </w:tc>
        <w:tc>
          <w:tcPr>
            <w:tcW w:w="8373" w:type="dxa"/>
            <w:shd w:val="clear" w:color="auto" w:fill="auto"/>
          </w:tcPr>
          <w:p w14:paraId="79A456B0" w14:textId="77777777" w:rsidR="008B7206" w:rsidRPr="00DF5807" w:rsidRDefault="008B7206" w:rsidP="00A6348D">
            <w:pPr>
              <w:pStyle w:val="NormalWeb"/>
            </w:pPr>
            <w:r w:rsidRPr="00DF5807">
              <w:rPr>
                <w:shd w:val="clear" w:color="auto" w:fill="FFFFFF"/>
              </w:rPr>
              <w:t xml:space="preserve">UNDERSTAND the process of creating and using HR analytics </w:t>
            </w:r>
          </w:p>
        </w:tc>
      </w:tr>
      <w:tr w:rsidR="008B7206" w:rsidRPr="00DF5807" w14:paraId="54CBBF81" w14:textId="77777777" w:rsidTr="00A6348D">
        <w:trPr>
          <w:trHeight w:val="440"/>
        </w:trPr>
        <w:tc>
          <w:tcPr>
            <w:tcW w:w="983" w:type="dxa"/>
            <w:shd w:val="clear" w:color="auto" w:fill="auto"/>
          </w:tcPr>
          <w:p w14:paraId="4FA459A6" w14:textId="77777777" w:rsidR="008B7206" w:rsidRPr="00DF5807" w:rsidRDefault="008B7206" w:rsidP="00A6348D">
            <w:pPr>
              <w:pStyle w:val="TableParagraph"/>
              <w:spacing w:line="275" w:lineRule="exact"/>
              <w:ind w:right="434"/>
              <w:jc w:val="right"/>
              <w:rPr>
                <w:b/>
                <w:i/>
                <w:iCs/>
                <w:w w:val="95"/>
              </w:rPr>
            </w:pPr>
            <w:r w:rsidRPr="00DF5807">
              <w:rPr>
                <w:b/>
                <w:i/>
                <w:iCs/>
                <w:w w:val="95"/>
              </w:rPr>
              <w:t>CO3</w:t>
            </w:r>
          </w:p>
        </w:tc>
        <w:tc>
          <w:tcPr>
            <w:tcW w:w="8373" w:type="dxa"/>
            <w:shd w:val="clear" w:color="auto" w:fill="auto"/>
          </w:tcPr>
          <w:p w14:paraId="6F10063A" w14:textId="77777777" w:rsidR="008B7206" w:rsidRPr="00DF5807" w:rsidRDefault="008B7206" w:rsidP="00A6348D">
            <w:pPr>
              <w:pStyle w:val="NormalWeb"/>
            </w:pPr>
            <w:r w:rsidRPr="00DF5807">
              <w:t xml:space="preserve">USE dashboards, pivot tables for data driven decision making in HR. </w:t>
            </w:r>
          </w:p>
        </w:tc>
      </w:tr>
      <w:tr w:rsidR="008B7206" w:rsidRPr="00DF5807" w14:paraId="0B2ADBE3" w14:textId="77777777" w:rsidTr="00A6348D">
        <w:trPr>
          <w:trHeight w:val="412"/>
        </w:trPr>
        <w:tc>
          <w:tcPr>
            <w:tcW w:w="983" w:type="dxa"/>
            <w:shd w:val="clear" w:color="auto" w:fill="auto"/>
          </w:tcPr>
          <w:p w14:paraId="277E8903" w14:textId="77777777" w:rsidR="008B7206" w:rsidRPr="00DF5807" w:rsidRDefault="008B7206" w:rsidP="00A6348D">
            <w:pPr>
              <w:pStyle w:val="TableParagraph"/>
              <w:spacing w:line="275" w:lineRule="exact"/>
              <w:ind w:right="434"/>
              <w:jc w:val="right"/>
              <w:rPr>
                <w:b/>
                <w:i/>
                <w:iCs/>
              </w:rPr>
            </w:pPr>
            <w:r w:rsidRPr="00DF5807">
              <w:rPr>
                <w:b/>
                <w:i/>
                <w:iCs/>
                <w:w w:val="95"/>
              </w:rPr>
              <w:t>CO4</w:t>
            </w:r>
          </w:p>
        </w:tc>
        <w:tc>
          <w:tcPr>
            <w:tcW w:w="8373" w:type="dxa"/>
            <w:shd w:val="clear" w:color="auto" w:fill="auto"/>
          </w:tcPr>
          <w:p w14:paraId="3C5B0711" w14:textId="77777777" w:rsidR="008B7206" w:rsidRPr="00DF5807" w:rsidRDefault="008B7206" w:rsidP="00A6348D">
            <w:pPr>
              <w:pStyle w:val="NormalWeb"/>
            </w:pPr>
            <w:r w:rsidRPr="00DF5807">
              <w:t>ILLUSTRATE the use of various tools and frameworks for predictive analytics.</w:t>
            </w:r>
          </w:p>
        </w:tc>
      </w:tr>
      <w:tr w:rsidR="008B7206" w:rsidRPr="00DF5807" w14:paraId="4E8AB77F" w14:textId="77777777" w:rsidTr="00A6348D">
        <w:trPr>
          <w:trHeight w:val="192"/>
        </w:trPr>
        <w:tc>
          <w:tcPr>
            <w:tcW w:w="983" w:type="dxa"/>
            <w:shd w:val="clear" w:color="auto" w:fill="auto"/>
          </w:tcPr>
          <w:p w14:paraId="06425C99" w14:textId="77777777" w:rsidR="008B7206" w:rsidRPr="00DF5807" w:rsidRDefault="008B7206" w:rsidP="00A6348D">
            <w:pPr>
              <w:pStyle w:val="TableParagraph"/>
              <w:spacing w:line="275" w:lineRule="exact"/>
              <w:ind w:right="434"/>
              <w:jc w:val="right"/>
              <w:rPr>
                <w:b/>
                <w:i/>
                <w:iCs/>
                <w:w w:val="95"/>
              </w:rPr>
            </w:pPr>
            <w:r w:rsidRPr="00DF5807">
              <w:rPr>
                <w:b/>
                <w:i/>
                <w:iCs/>
                <w:w w:val="95"/>
              </w:rPr>
              <w:t>CO5</w:t>
            </w:r>
          </w:p>
        </w:tc>
        <w:tc>
          <w:tcPr>
            <w:tcW w:w="8373" w:type="dxa"/>
            <w:shd w:val="clear" w:color="auto" w:fill="auto"/>
          </w:tcPr>
          <w:p w14:paraId="3AE717D9" w14:textId="77777777" w:rsidR="008B7206" w:rsidRPr="00DF5807" w:rsidRDefault="008B7206" w:rsidP="00A6348D">
            <w:pPr>
              <w:pStyle w:val="NormalWeb"/>
            </w:pPr>
            <w:r w:rsidRPr="00DF5807">
              <w:t xml:space="preserve">DERIVE a variety of metrics and quantify key outcomes in multiple areas of HR. </w:t>
            </w:r>
          </w:p>
        </w:tc>
      </w:tr>
      <w:tr w:rsidR="008B7206" w:rsidRPr="00DF5807" w14:paraId="79102613" w14:textId="77777777" w:rsidTr="00A6348D">
        <w:trPr>
          <w:trHeight w:val="90"/>
        </w:trPr>
        <w:tc>
          <w:tcPr>
            <w:tcW w:w="983" w:type="dxa"/>
            <w:shd w:val="clear" w:color="auto" w:fill="auto"/>
          </w:tcPr>
          <w:p w14:paraId="3AAE70E8" w14:textId="77777777" w:rsidR="008B7206" w:rsidRPr="00DF5807" w:rsidRDefault="008B7206" w:rsidP="00A6348D">
            <w:pPr>
              <w:pStyle w:val="TableParagraph"/>
              <w:spacing w:line="275" w:lineRule="exact"/>
              <w:ind w:right="434"/>
              <w:jc w:val="right"/>
              <w:rPr>
                <w:b/>
                <w:i/>
                <w:iCs/>
                <w:w w:val="95"/>
              </w:rPr>
            </w:pPr>
            <w:r w:rsidRPr="00DF5807">
              <w:rPr>
                <w:b/>
                <w:i/>
                <w:iCs/>
                <w:w w:val="95"/>
              </w:rPr>
              <w:t>CO6</w:t>
            </w:r>
          </w:p>
        </w:tc>
        <w:tc>
          <w:tcPr>
            <w:tcW w:w="8373" w:type="dxa"/>
            <w:shd w:val="clear" w:color="auto" w:fill="auto"/>
          </w:tcPr>
          <w:p w14:paraId="512E5217" w14:textId="77777777" w:rsidR="008B7206" w:rsidRPr="00DF5807" w:rsidRDefault="008B7206" w:rsidP="00A6348D">
            <w:pPr>
              <w:pStyle w:val="NormalWeb"/>
            </w:pPr>
            <w:r w:rsidRPr="00DF5807">
              <w:t xml:space="preserve">BUILD value for HR departments by showing clear links between HR and Business outcomes. </w:t>
            </w:r>
          </w:p>
        </w:tc>
      </w:tr>
    </w:tbl>
    <w:p w14:paraId="7B91B26A" w14:textId="77777777" w:rsidR="008B7206" w:rsidRPr="00DF5807" w:rsidRDefault="008B7206" w:rsidP="008B7206">
      <w:pPr>
        <w:spacing w:line="360" w:lineRule="auto"/>
        <w:rPr>
          <w:b/>
          <w:color w:val="000000"/>
        </w:rPr>
      </w:pPr>
    </w:p>
    <w:p w14:paraId="1F76951B" w14:textId="77777777" w:rsidR="008B7206" w:rsidRPr="00DF5807" w:rsidRDefault="008B7206" w:rsidP="008B7206">
      <w:pPr>
        <w:spacing w:line="360" w:lineRule="auto"/>
        <w:rPr>
          <w:b/>
          <w:color w:val="000000"/>
        </w:rPr>
      </w:pPr>
    </w:p>
    <w:p w14:paraId="2342E562" w14:textId="77777777" w:rsidR="008B7206" w:rsidRPr="00DF5807" w:rsidRDefault="008B7206" w:rsidP="008B7206">
      <w:pPr>
        <w:spacing w:line="360" w:lineRule="auto"/>
        <w:rPr>
          <w:b/>
          <w:color w:val="000000"/>
        </w:rPr>
      </w:pPr>
    </w:p>
    <w:p w14:paraId="6CDBF1D9" w14:textId="77777777" w:rsidR="00974DF8" w:rsidRPr="008B7206" w:rsidRDefault="00974DF8" w:rsidP="008B7206"/>
    <w:sectPr w:rsidR="00974DF8" w:rsidRPr="008B72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1A8D"/>
    <w:multiLevelType w:val="hybridMultilevel"/>
    <w:tmpl w:val="ADE6D882"/>
    <w:lvl w:ilvl="0" w:tplc="4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66583C"/>
    <w:multiLevelType w:val="multilevel"/>
    <w:tmpl w:val="A6D4B2EE"/>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E97B44"/>
    <w:multiLevelType w:val="hybridMultilevel"/>
    <w:tmpl w:val="016C0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D54B99"/>
    <w:multiLevelType w:val="hybridMultilevel"/>
    <w:tmpl w:val="D2324E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3403E48"/>
    <w:multiLevelType w:val="hybridMultilevel"/>
    <w:tmpl w:val="1AC672C2"/>
    <w:lvl w:ilvl="0" w:tplc="40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46A5AC1"/>
    <w:multiLevelType w:val="multilevel"/>
    <w:tmpl w:val="A9B41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C45B8B"/>
    <w:multiLevelType w:val="multilevel"/>
    <w:tmpl w:val="3D2E9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843701"/>
    <w:multiLevelType w:val="hybridMultilevel"/>
    <w:tmpl w:val="E04E8C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E25F3C"/>
    <w:multiLevelType w:val="hybridMultilevel"/>
    <w:tmpl w:val="A886D0EC"/>
    <w:lvl w:ilvl="0" w:tplc="04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105F77"/>
    <w:multiLevelType w:val="multilevel"/>
    <w:tmpl w:val="5E08C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BE65F9"/>
    <w:multiLevelType w:val="multilevel"/>
    <w:tmpl w:val="A6D4B2EE"/>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5062EB9"/>
    <w:multiLevelType w:val="hybridMultilevel"/>
    <w:tmpl w:val="78362B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7378229">
    <w:abstractNumId w:val="10"/>
  </w:num>
  <w:num w:numId="2" w16cid:durableId="1835954891">
    <w:abstractNumId w:val="1"/>
  </w:num>
  <w:num w:numId="3" w16cid:durableId="196360434">
    <w:abstractNumId w:val="4"/>
  </w:num>
  <w:num w:numId="4" w16cid:durableId="1462307638">
    <w:abstractNumId w:val="2"/>
  </w:num>
  <w:num w:numId="5" w16cid:durableId="1290356209">
    <w:abstractNumId w:val="3"/>
  </w:num>
  <w:num w:numId="6" w16cid:durableId="144125176">
    <w:abstractNumId w:val="8"/>
  </w:num>
  <w:num w:numId="7" w16cid:durableId="662590178">
    <w:abstractNumId w:val="7"/>
  </w:num>
  <w:num w:numId="8" w16cid:durableId="1571427229">
    <w:abstractNumId w:val="6"/>
  </w:num>
  <w:num w:numId="9" w16cid:durableId="619458120">
    <w:abstractNumId w:val="11"/>
  </w:num>
  <w:num w:numId="10" w16cid:durableId="1351492101">
    <w:abstractNumId w:val="0"/>
  </w:num>
  <w:num w:numId="11" w16cid:durableId="1454323695">
    <w:abstractNumId w:val="9"/>
  </w:num>
  <w:num w:numId="12" w16cid:durableId="633080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DF8"/>
    <w:rsid w:val="007C091E"/>
    <w:rsid w:val="0088080C"/>
    <w:rsid w:val="008B7206"/>
    <w:rsid w:val="00974DF8"/>
    <w:rsid w:val="00C024E7"/>
    <w:rsid w:val="00C23DDB"/>
    <w:rsid w:val="00F9753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92966"/>
  <w15:chartTrackingRefBased/>
  <w15:docId w15:val="{F7C5E586-084A-4784-8D99-F86793727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74DF8"/>
    <w:pPr>
      <w:spacing w:after="0" w:line="240" w:lineRule="auto"/>
    </w:pPr>
    <w:rPr>
      <w:rFonts w:ascii="Times New Roman" w:eastAsia="Times New Roman" w:hAnsi="Times New Roman"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974DF8"/>
  </w:style>
  <w:style w:type="paragraph" w:styleId="NormalWeb">
    <w:name w:val="Normal (Web)"/>
    <w:basedOn w:val="Normal"/>
    <w:uiPriority w:val="99"/>
    <w:unhideWhenUsed/>
    <w:rsid w:val="00974DF8"/>
    <w:pPr>
      <w:spacing w:before="100" w:beforeAutospacing="1" w:after="100" w:afterAutospacing="1"/>
    </w:pPr>
  </w:style>
  <w:style w:type="paragraph" w:styleId="ListParagraph">
    <w:name w:val="List Paragraph"/>
    <w:basedOn w:val="Normal"/>
    <w:uiPriority w:val="34"/>
    <w:qFormat/>
    <w:rsid w:val="00974DF8"/>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88080C"/>
    <w:pPr>
      <w:widowControl w:val="0"/>
      <w:autoSpaceDE w:val="0"/>
      <w:autoSpaceDN w:val="0"/>
      <w:adjustRightInd w:val="0"/>
      <w:spacing w:after="0" w:line="240" w:lineRule="auto"/>
    </w:pPr>
    <w:rPr>
      <w:rFonts w:ascii="Times New Roman" w:eastAsia="Times New Roman" w:hAnsi="Times New Roman" w:cs="Times New Roman"/>
      <w:color w:val="000000"/>
      <w:kern w:val="0"/>
      <w:sz w:val="24"/>
      <w:szCs w:val="24"/>
      <w:lang w:eastAsia="en-IN"/>
      <w14:ligatures w14:val="none"/>
    </w:rPr>
  </w:style>
  <w:style w:type="paragraph" w:customStyle="1" w:styleId="CM7">
    <w:name w:val="CM7"/>
    <w:basedOn w:val="Default"/>
    <w:next w:val="Default"/>
    <w:uiPriority w:val="99"/>
    <w:rsid w:val="0088080C"/>
    <w:pPr>
      <w:spacing w:line="231" w:lineRule="atLeast"/>
    </w:pPr>
    <w:rPr>
      <w:color w:val="auto"/>
    </w:rPr>
  </w:style>
  <w:style w:type="paragraph" w:customStyle="1" w:styleId="CM31">
    <w:name w:val="CM31"/>
    <w:basedOn w:val="Default"/>
    <w:next w:val="Default"/>
    <w:uiPriority w:val="99"/>
    <w:rsid w:val="0088080C"/>
    <w:pPr>
      <w:spacing w:line="258"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3032</Characters>
  <Application>Microsoft Office Word</Application>
  <DocSecurity>0</DocSecurity>
  <Lines>131</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shreya kanojia</dc:creator>
  <cp:keywords/>
  <dc:description/>
  <cp:lastModifiedBy>shreya kanojia</cp:lastModifiedBy>
  <cp:revision>2</cp:revision>
  <dcterms:created xsi:type="dcterms:W3CDTF">2023-10-10T07:20:00Z</dcterms:created>
  <dcterms:modified xsi:type="dcterms:W3CDTF">2023-10-10T07:20:00Z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e031baed-9a95-49c7-9002-17787bc2e059</vt:lpwstr>
  </property>
</Properties>
</file>